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622FAE1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tabs>
          <w:tab w:val="left" w:pos="2386" w:leader="none"/>
        </w:tabs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</w:rPr>
        <w:t xml:space="preserve">Аннотация РП </w:t>
      </w:r>
    </w:p>
    <w:p>
      <w:pPr>
        <w:tabs>
          <w:tab w:val="left" w:pos="2386" w:leader="none"/>
        </w:tabs>
        <w:rPr>
          <w:sz w:val="28"/>
        </w:rPr>
      </w:pPr>
      <w:r>
        <w:rPr>
          <w:sz w:val="28"/>
        </w:rPr>
        <w:t xml:space="preserve">                                Литература 10 класс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Примерные рабочие программы по литературе для 10—11 классов к завершённой предметной линии учебников по литературе под ред. В. П. Журавлева, Ю. В. Лебедева составлены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Российской Федерации» (2016), «Примерной основной образовательной про-граммы среднего общего образования». В них также учитываются основные идеи и положения «Примерной программы развития универсальных учебных действий при получении среднего общего образования», соблюдается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преемственность с примерными программами для начального общего и основного общего образования.</w:t>
      </w: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Цель изучения  предмета  «Литература» приобщение к гуманистическим ценностям культуры и развитие творческих способностей — необходимые условия становления человека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Данная цель решает следующие образовательные задачи 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многонациональногонарода России, создателя великой литературы, носителя высоких духовных идеалов1;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гражданской позиции школьника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воспитание нравственного сознания и поведения на основе чтения и эмоционально-интеллектуального освоения художественных произведений, в которых воплощены данные ценности;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нравственной чуткости, совестливости, чувства справедливости;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воспитание готовности к служению Отечеству, его защите на примере судеб писателей и образов литературных героев, вызывающих восхищиние и уважение своим служением России;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мировоззрения, соответствующего современному уровню развития науки и общественной практики, благодаря освоению результатов современного литературоведения и обращению к лучшим образцам литературной критики;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развитие способности понимать диалог культур, а также различных форм общественного сознания посредством сопоставления научных, художественных и иных интерпретаций литературных произведений, сопоставления творчества зарубежных и русских авторов, обеспечивающего осознание учеником своего места в поликультурном мире;</w:t>
      </w: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основ саморазвития и самовоспитания в соответствии с традиционными национальными и общечеловеческими ценностями и идеалами гражданского общества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литературе для 10 класса составлена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РФ», утверждённой 09.04.2016, «Примерной основной образовательной программы среднего общего образования». В ней также учитываются основные идеи и положения «Примерной программы развития универсальных учебных действий при получении среднего общего образования», соблюдается преемственность с примерными программами для начального общего и основного общего образования. Этот предмет является обязательным для изучения в 10-ых классах и на его изучение отводится 204 часа (по 102 часа в каждом классе. 34 учебных недели)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содержит следующие разделы :</w:t>
      </w:r>
    </w:p>
    <w:p>
      <w:pPr>
        <w:tabs>
          <w:tab w:val="left" w:pos="928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tbl>
      <w:tblPr>
        <w:tblW w:w="14985" w:type="dxa"/>
        <w:tblInd w:w="0" w:type="dxa"/>
        <w:tblBorders>
          <w:insideH w:val="none" w:sz="0" w:space="0" w:shadow="0" w:frame="0" w:color="000000"/>
          <w:insideV w:val="none" w:sz="0" w:space="0" w:shadow="0" w:frame="0" w:color="000000"/>
        </w:tblBorders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rPr>
          <w:gridAfter w:val="1"/>
          <w:wAfter w:w="7590" w:type="dxa"/>
        </w:trPr>
        <w:tc>
          <w:tcPr>
            <w:tcW w:w="615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after="150"/>
              <w:jc w:val="center"/>
              <w:rPr>
                <w:rFonts w:ascii="Arial" w:hAnsi="Arial"/>
                <w:color w:val="000000"/>
                <w:sz w:val="28"/>
              </w:rPr>
            </w:pPr>
            <w:bookmarkStart w:id="0" w:name="_dx_frag_StartFragment"/>
            <w:bookmarkEnd w:id="0"/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Введение.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XX века.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Писатели-реалисты начала XX века.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И.Бунин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А.Куприн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М.Горький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Ф.М.Достоевский.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Серебряный век русской поэзии. Символизм. Акмеизм. Футуризм.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 Брюсов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К.Бальмонт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А.Белый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Н.Гумилев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И.Северянин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А.Блок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Новокрестьянская поэзия.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Н. Клюев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С.Есенин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20-х годов. Обзор.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 Фадеев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 Маяковский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30-х годов.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М.Булгаков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А.Платонов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А.Ахматова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О.Мандельштам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М.Цветаева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М.Шолохов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Великой Отечественной войны.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50-90-х годов.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А.Твардовский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Б.Пастернак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К.Воробьев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Б.Васильев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В.Быков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А.Солженицын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В.Шаламов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Н.Рубцов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В.Астафьев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Ч.Айтматов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В.Распутин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И.Бродский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Б.Окуджава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А.Вампилов</w:t>
            </w:r>
          </w:p>
        </w:tc>
      </w:tr>
      <w:t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Литература конца XX – начала XXI века.</w:t>
            </w:r>
          </w:p>
        </w:tc>
        <w:tc>
          <w:tcPr>
            <w:tcW w:w="615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after="150"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3</w:t>
            </w:r>
          </w:p>
        </w:tc>
      </w:tr>
      <w:tr>
        <w:trPr>
          <w:gridAfter w:val="1"/>
          <w:wAfter w:w="6150" w:type="dxa"/>
        </w:trPr>
        <w:tc>
          <w:tcPr>
            <w:tcW w:w="759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i w:val="1"/>
                <w:color w:val="000000"/>
                <w:sz w:val="28"/>
              </w:rPr>
              <w:t>Зарубежная литература.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Дж.- Б. Шоу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Т. – С. Элиот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Э. – М. Хемингуэй</w:t>
            </w:r>
          </w:p>
          <w:p>
            <w:pPr>
              <w:spacing w:after="150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Э. – М. Ремарк</w:t>
            </w:r>
          </w:p>
        </w:tc>
      </w:tr>
    </w:tbl>
    <w:p>
      <w:pPr>
        <w:tabs>
          <w:tab w:val="left" w:pos="9288" w:leader="none"/>
        </w:tabs>
        <w:rPr>
          <w:rFonts w:ascii="Times New Roman" w:hAnsi="Times New Roman"/>
        </w:rPr>
      </w:pPr>
    </w:p>
    <w:p>
      <w:pPr>
        <w:tabs>
          <w:tab w:val="left" w:pos="9288" w:leader="none"/>
        </w:tabs>
        <w:spacing w:lineRule="auto" w:line="480"/>
        <w:rPr>
          <w:rFonts w:ascii="Times New Roman" w:hAnsi="Times New Roman"/>
        </w:rPr>
      </w:pPr>
    </w:p>
    <w:p>
      <w:pPr>
        <w:tabs>
          <w:tab w:val="left" w:pos="2386" w:leader="none"/>
        </w:tabs>
        <w:rPr>
          <w:sz w:val="28"/>
        </w:rPr>
      </w:pPr>
    </w:p>
    <w:p/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